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99"/>
        <w:ind w:left="100" w:right="2771" w:firstLine="0"/>
        <w:jc w:val="left"/>
        <w:rPr>
          <w:b/>
          <w:sz w:val="28"/>
        </w:rPr>
      </w:pPr>
      <w:r>
        <w:rPr>
          <w:b/>
          <w:w w:val="95"/>
          <w:sz w:val="28"/>
        </w:rPr>
        <w:t>Children’s</w:t>
      </w:r>
      <w:r>
        <w:rPr>
          <w:b/>
          <w:spacing w:val="-31"/>
          <w:w w:val="95"/>
          <w:sz w:val="28"/>
        </w:rPr>
        <w:t> </w:t>
      </w:r>
      <w:r>
        <w:rPr>
          <w:b/>
          <w:w w:val="95"/>
          <w:sz w:val="28"/>
        </w:rPr>
        <w:t>Safeguarding</w:t>
      </w:r>
      <w:r>
        <w:rPr>
          <w:b/>
          <w:spacing w:val="-29"/>
          <w:w w:val="95"/>
          <w:sz w:val="28"/>
        </w:rPr>
        <w:t> </w:t>
      </w:r>
      <w:r>
        <w:rPr>
          <w:b/>
          <w:w w:val="95"/>
          <w:sz w:val="28"/>
        </w:rPr>
        <w:t>and</w:t>
      </w:r>
      <w:r>
        <w:rPr>
          <w:b/>
          <w:spacing w:val="-31"/>
          <w:w w:val="95"/>
          <w:sz w:val="28"/>
        </w:rPr>
        <w:t> </w:t>
      </w:r>
      <w:r>
        <w:rPr>
          <w:b/>
          <w:w w:val="95"/>
          <w:sz w:val="28"/>
        </w:rPr>
        <w:t>Social</w:t>
      </w:r>
      <w:r>
        <w:rPr>
          <w:b/>
          <w:spacing w:val="-28"/>
          <w:w w:val="95"/>
          <w:sz w:val="28"/>
        </w:rPr>
        <w:t> </w:t>
      </w:r>
      <w:r>
        <w:rPr>
          <w:b/>
          <w:w w:val="95"/>
          <w:sz w:val="28"/>
        </w:rPr>
        <w:t>Care</w:t>
      </w:r>
      <w:r>
        <w:rPr>
          <w:b/>
          <w:spacing w:val="-28"/>
          <w:w w:val="95"/>
          <w:sz w:val="28"/>
        </w:rPr>
        <w:t> </w:t>
      </w:r>
      <w:r>
        <w:rPr>
          <w:b/>
          <w:w w:val="95"/>
          <w:sz w:val="28"/>
        </w:rPr>
        <w:t>Division </w:t>
      </w:r>
      <w:r>
        <w:rPr>
          <w:b/>
          <w:sz w:val="28"/>
        </w:rPr>
        <w:t>Core Group</w:t>
      </w:r>
      <w:r>
        <w:rPr>
          <w:b/>
          <w:spacing w:val="-23"/>
          <w:sz w:val="28"/>
        </w:rPr>
        <w:t> </w:t>
      </w:r>
      <w:r>
        <w:rPr>
          <w:b/>
          <w:sz w:val="28"/>
        </w:rPr>
        <w:t>Standards</w:t>
      </w:r>
    </w:p>
    <w:p>
      <w:pPr>
        <w:pStyle w:val="BodyText"/>
        <w:spacing w:before="9"/>
        <w:rPr>
          <w:b/>
          <w:sz w:val="28"/>
        </w:rPr>
      </w:pPr>
    </w:p>
    <w:p>
      <w:pPr>
        <w:pStyle w:val="BodyText"/>
        <w:spacing w:before="1"/>
        <w:ind w:left="100"/>
      </w:pPr>
      <w:r>
        <w:rPr>
          <w:color w:val="D99493"/>
        </w:rPr>
        <w:t>.</w:t>
      </w:r>
    </w:p>
    <w:p>
      <w:pPr>
        <w:pStyle w:val="BodyText"/>
        <w:rPr>
          <w:sz w:val="28"/>
        </w:rPr>
      </w:pPr>
    </w:p>
    <w:p>
      <w:pPr>
        <w:pStyle w:val="BodyText"/>
        <w:spacing w:before="3"/>
        <w:rPr>
          <w:sz w:val="27"/>
        </w:rPr>
      </w:pPr>
    </w:p>
    <w:p>
      <w:pPr>
        <w:pStyle w:val="Heading1"/>
      </w:pPr>
      <w:r>
        <w:rPr/>
        <w:t>Introduction</w:t>
      </w:r>
    </w:p>
    <w:p>
      <w:pPr>
        <w:pStyle w:val="BodyText"/>
        <w:spacing w:before="10"/>
        <w:rPr>
          <w:b/>
          <w:sz w:val="25"/>
        </w:rPr>
      </w:pPr>
    </w:p>
    <w:p>
      <w:pPr>
        <w:pStyle w:val="BodyText"/>
        <w:spacing w:line="501" w:lineRule="auto"/>
        <w:ind w:left="100" w:right="4429"/>
      </w:pPr>
      <w:r>
        <w:rPr/>
        <w:t>Children’s Safeguarding and Social Care Division Core Group Standards</w:t>
      </w:r>
    </w:p>
    <w:p>
      <w:pPr>
        <w:pStyle w:val="Heading1"/>
        <w:spacing w:line="277" w:lineRule="exact"/>
      </w:pPr>
      <w:r>
        <w:rPr/>
        <w:t>Introduction</w:t>
      </w:r>
    </w:p>
    <w:p>
      <w:pPr>
        <w:pStyle w:val="BodyText"/>
        <w:spacing w:before="10"/>
        <w:rPr>
          <w:b/>
          <w:sz w:val="25"/>
        </w:rPr>
      </w:pPr>
    </w:p>
    <w:p>
      <w:pPr>
        <w:pStyle w:val="BodyText"/>
        <w:spacing w:line="249" w:lineRule="auto" w:before="1"/>
        <w:ind w:left="100" w:right="117"/>
        <w:jc w:val="both"/>
      </w:pPr>
      <w:r>
        <w:rPr/>
        <w:t>The core group meeting is the key multi-agency mechanism for achieving effective implementation of the child protection plan</w:t>
      </w:r>
      <w:r>
        <w:rPr>
          <w:color w:val="538DD3"/>
        </w:rPr>
        <w:t>. </w:t>
      </w:r>
      <w:r>
        <w:rPr/>
        <w:t>Although children’s social care are the lead agency all members of the core group are jointly responsible for carrying out the tasks, refining the Child Protection Plan (CPP) and monitoring progress.</w:t>
      </w:r>
    </w:p>
    <w:p>
      <w:pPr>
        <w:pStyle w:val="BodyText"/>
        <w:spacing w:before="5"/>
        <w:rPr>
          <w:sz w:val="25"/>
        </w:rPr>
      </w:pPr>
    </w:p>
    <w:p>
      <w:pPr>
        <w:pStyle w:val="Heading1"/>
        <w:spacing w:line="249" w:lineRule="auto"/>
        <w:ind w:right="117" w:firstLine="16"/>
        <w:jc w:val="both"/>
      </w:pPr>
      <w:r>
        <w:rPr/>
        <w:t>The GSCB leaflet regarding Core Groups must be sent to all core group </w:t>
      </w:r>
      <w:r>
        <w:rPr>
          <w:w w:val="95"/>
        </w:rPr>
        <w:t>members</w:t>
      </w:r>
      <w:r>
        <w:rPr>
          <w:spacing w:val="-21"/>
          <w:w w:val="95"/>
        </w:rPr>
        <w:t> </w:t>
      </w:r>
      <w:r>
        <w:rPr>
          <w:w w:val="95"/>
        </w:rPr>
        <w:t>with</w:t>
      </w:r>
      <w:r>
        <w:rPr>
          <w:spacing w:val="-20"/>
          <w:w w:val="95"/>
        </w:rPr>
        <w:t> </w:t>
      </w:r>
      <w:r>
        <w:rPr>
          <w:w w:val="95"/>
        </w:rPr>
        <w:t>the</w:t>
      </w:r>
      <w:r>
        <w:rPr>
          <w:spacing w:val="-21"/>
          <w:w w:val="95"/>
        </w:rPr>
        <w:t> </w:t>
      </w:r>
      <w:r>
        <w:rPr>
          <w:w w:val="95"/>
        </w:rPr>
        <w:t>Decision</w:t>
      </w:r>
      <w:r>
        <w:rPr>
          <w:spacing w:val="-21"/>
          <w:w w:val="95"/>
        </w:rPr>
        <w:t> </w:t>
      </w:r>
      <w:r>
        <w:rPr>
          <w:w w:val="95"/>
        </w:rPr>
        <w:t>Sheet</w:t>
      </w:r>
      <w:r>
        <w:rPr>
          <w:spacing w:val="-20"/>
          <w:w w:val="95"/>
        </w:rPr>
        <w:t> </w:t>
      </w:r>
      <w:r>
        <w:rPr>
          <w:w w:val="95"/>
        </w:rPr>
        <w:t>within</w:t>
      </w:r>
      <w:r>
        <w:rPr>
          <w:spacing w:val="-19"/>
          <w:w w:val="95"/>
        </w:rPr>
        <w:t> </w:t>
      </w:r>
      <w:r>
        <w:rPr>
          <w:w w:val="95"/>
        </w:rPr>
        <w:t>24</w:t>
      </w:r>
      <w:r>
        <w:rPr>
          <w:spacing w:val="-21"/>
          <w:w w:val="95"/>
        </w:rPr>
        <w:t> </w:t>
      </w:r>
      <w:r>
        <w:rPr>
          <w:w w:val="95"/>
        </w:rPr>
        <w:t>hours</w:t>
      </w:r>
      <w:r>
        <w:rPr>
          <w:spacing w:val="-20"/>
          <w:w w:val="95"/>
        </w:rPr>
        <w:t> </w:t>
      </w:r>
      <w:r>
        <w:rPr>
          <w:w w:val="95"/>
        </w:rPr>
        <w:t>of</w:t>
      </w:r>
      <w:r>
        <w:rPr>
          <w:spacing w:val="-21"/>
          <w:w w:val="95"/>
        </w:rPr>
        <w:t> </w:t>
      </w:r>
      <w:r>
        <w:rPr>
          <w:w w:val="95"/>
        </w:rPr>
        <w:t>the</w:t>
      </w:r>
      <w:r>
        <w:rPr>
          <w:spacing w:val="-20"/>
          <w:w w:val="95"/>
        </w:rPr>
        <w:t> </w:t>
      </w:r>
      <w:r>
        <w:rPr>
          <w:w w:val="95"/>
        </w:rPr>
        <w:t>Initial</w:t>
      </w:r>
      <w:r>
        <w:rPr>
          <w:spacing w:val="-20"/>
          <w:w w:val="95"/>
        </w:rPr>
        <w:t> </w:t>
      </w:r>
      <w:r>
        <w:rPr>
          <w:w w:val="95"/>
        </w:rPr>
        <w:t>Child</w:t>
      </w:r>
      <w:r>
        <w:rPr>
          <w:spacing w:val="-21"/>
          <w:w w:val="95"/>
        </w:rPr>
        <w:t> </w:t>
      </w:r>
      <w:r>
        <w:rPr>
          <w:w w:val="95"/>
        </w:rPr>
        <w:t>Protection </w:t>
      </w:r>
      <w:r>
        <w:rPr/>
        <w:t>Conference.</w:t>
      </w:r>
    </w:p>
    <w:p>
      <w:pPr>
        <w:pStyle w:val="BodyText"/>
        <w:spacing w:before="7"/>
        <w:rPr>
          <w:b/>
        </w:rPr>
      </w:pPr>
    </w:p>
    <w:p>
      <w:pPr>
        <w:spacing w:before="0"/>
        <w:ind w:left="100" w:right="0" w:firstLine="0"/>
        <w:jc w:val="left"/>
        <w:rPr>
          <w:b/>
          <w:sz w:val="24"/>
        </w:rPr>
      </w:pPr>
      <w:r>
        <w:rPr>
          <w:b/>
          <w:sz w:val="24"/>
        </w:rPr>
        <w:t>The role of the lead social worker</w:t>
      </w:r>
    </w:p>
    <w:p>
      <w:pPr>
        <w:pStyle w:val="BodyText"/>
        <w:spacing w:before="10"/>
        <w:rPr>
          <w:b/>
          <w:sz w:val="26"/>
        </w:rPr>
      </w:pPr>
    </w:p>
    <w:p>
      <w:pPr>
        <w:pStyle w:val="ListParagraph"/>
        <w:numPr>
          <w:ilvl w:val="0"/>
          <w:numId w:val="1"/>
        </w:numPr>
        <w:tabs>
          <w:tab w:pos="528" w:val="left" w:leader="none"/>
        </w:tabs>
        <w:spacing w:line="244" w:lineRule="auto" w:before="0" w:after="0"/>
        <w:ind w:left="527" w:right="116" w:hanging="360"/>
        <w:jc w:val="both"/>
        <w:rPr>
          <w:sz w:val="24"/>
        </w:rPr>
      </w:pPr>
      <w:r>
        <w:rPr>
          <w:sz w:val="24"/>
        </w:rPr>
        <w:t>The social worker is responsible for making sure that the outline child protection </w:t>
      </w:r>
      <w:r>
        <w:rPr>
          <w:spacing w:val="-14"/>
          <w:sz w:val="24"/>
        </w:rPr>
        <w:t>plan   </w:t>
      </w:r>
      <w:r>
        <w:rPr>
          <w:sz w:val="24"/>
        </w:rPr>
        <w:t>is developed into a more detailed inter-agency plan. The Child Protection Plan must be informed by the outcome of the core</w:t>
      </w:r>
      <w:r>
        <w:rPr>
          <w:spacing w:val="-1"/>
          <w:sz w:val="24"/>
        </w:rPr>
        <w:t> </w:t>
      </w:r>
      <w:r>
        <w:rPr>
          <w:sz w:val="24"/>
        </w:rPr>
        <w:t>assessment.</w:t>
      </w:r>
    </w:p>
    <w:p>
      <w:pPr>
        <w:pStyle w:val="BodyText"/>
        <w:spacing w:before="8"/>
        <w:rPr>
          <w:sz w:val="26"/>
        </w:rPr>
      </w:pPr>
    </w:p>
    <w:p>
      <w:pPr>
        <w:pStyle w:val="ListParagraph"/>
        <w:numPr>
          <w:ilvl w:val="0"/>
          <w:numId w:val="1"/>
        </w:numPr>
        <w:tabs>
          <w:tab w:pos="527" w:val="left" w:leader="none"/>
          <w:tab w:pos="528" w:val="left" w:leader="none"/>
        </w:tabs>
        <w:spacing w:line="237" w:lineRule="auto" w:before="0" w:after="0"/>
        <w:ind w:left="527" w:right="114" w:hanging="360"/>
        <w:jc w:val="left"/>
        <w:rPr>
          <w:sz w:val="24"/>
        </w:rPr>
      </w:pPr>
      <w:r>
        <w:rPr>
          <w:sz w:val="24"/>
        </w:rPr>
        <w:t>The social worker is responsible for acting as the lead professional for the inter-agency work with the child and</w:t>
      </w:r>
      <w:r>
        <w:rPr>
          <w:spacing w:val="-3"/>
          <w:sz w:val="24"/>
        </w:rPr>
        <w:t> </w:t>
      </w:r>
      <w:r>
        <w:rPr>
          <w:sz w:val="24"/>
        </w:rPr>
        <w:t>family.</w:t>
      </w:r>
    </w:p>
    <w:p>
      <w:pPr>
        <w:pStyle w:val="BodyText"/>
        <w:spacing w:before="6"/>
        <w:rPr>
          <w:sz w:val="27"/>
        </w:rPr>
      </w:pPr>
    </w:p>
    <w:p>
      <w:pPr>
        <w:pStyle w:val="ListParagraph"/>
        <w:numPr>
          <w:ilvl w:val="0"/>
          <w:numId w:val="1"/>
        </w:numPr>
        <w:tabs>
          <w:tab w:pos="527" w:val="left" w:leader="none"/>
          <w:tab w:pos="528" w:val="left" w:leader="none"/>
        </w:tabs>
        <w:spacing w:line="237" w:lineRule="auto" w:before="0" w:after="0"/>
        <w:ind w:left="527" w:right="115" w:hanging="360"/>
        <w:jc w:val="left"/>
        <w:rPr>
          <w:sz w:val="24"/>
        </w:rPr>
      </w:pPr>
      <w:r>
        <w:rPr>
          <w:sz w:val="24"/>
        </w:rPr>
        <w:t>The social worker must co-ordinate the contribution of family members in setting out the change that is required when planning the action that needs to be</w:t>
      </w:r>
      <w:r>
        <w:rPr>
          <w:spacing w:val="-8"/>
          <w:sz w:val="24"/>
        </w:rPr>
        <w:t> </w:t>
      </w:r>
      <w:r>
        <w:rPr>
          <w:sz w:val="24"/>
        </w:rPr>
        <w:t>taken.</w:t>
      </w:r>
    </w:p>
    <w:p>
      <w:pPr>
        <w:pStyle w:val="BodyText"/>
        <w:spacing w:before="2"/>
        <w:rPr>
          <w:sz w:val="27"/>
        </w:rPr>
      </w:pPr>
    </w:p>
    <w:p>
      <w:pPr>
        <w:pStyle w:val="ListParagraph"/>
        <w:numPr>
          <w:ilvl w:val="0"/>
          <w:numId w:val="1"/>
        </w:numPr>
        <w:tabs>
          <w:tab w:pos="527" w:val="left" w:leader="none"/>
          <w:tab w:pos="528" w:val="left" w:leader="none"/>
        </w:tabs>
        <w:spacing w:line="240" w:lineRule="auto" w:before="0" w:after="0"/>
        <w:ind w:left="527" w:right="0" w:hanging="360"/>
        <w:jc w:val="left"/>
        <w:rPr>
          <w:sz w:val="24"/>
        </w:rPr>
      </w:pPr>
      <w:r>
        <w:rPr>
          <w:sz w:val="24"/>
        </w:rPr>
        <w:t>The social worker must see the child, alone as appropriate, in accordance with the</w:t>
      </w:r>
      <w:r>
        <w:rPr>
          <w:spacing w:val="-20"/>
          <w:sz w:val="24"/>
        </w:rPr>
        <w:t> </w:t>
      </w:r>
      <w:r>
        <w:rPr>
          <w:sz w:val="24"/>
        </w:rPr>
        <w:t>plan.</w:t>
      </w:r>
    </w:p>
    <w:p>
      <w:pPr>
        <w:pStyle w:val="BodyText"/>
        <w:spacing w:before="8"/>
        <w:rPr>
          <w:sz w:val="29"/>
        </w:rPr>
      </w:pPr>
    </w:p>
    <w:p>
      <w:pPr>
        <w:pStyle w:val="ListParagraph"/>
        <w:numPr>
          <w:ilvl w:val="0"/>
          <w:numId w:val="1"/>
        </w:numPr>
        <w:tabs>
          <w:tab w:pos="527" w:val="left" w:leader="none"/>
          <w:tab w:pos="528" w:val="left" w:leader="none"/>
        </w:tabs>
        <w:spacing w:line="237" w:lineRule="auto" w:before="0" w:after="0"/>
        <w:ind w:left="527" w:right="119" w:hanging="360"/>
        <w:jc w:val="left"/>
        <w:rPr>
          <w:sz w:val="24"/>
        </w:rPr>
      </w:pPr>
      <w:r>
        <w:rPr>
          <w:sz w:val="24"/>
        </w:rPr>
        <w:t>The social worker must record on Framework that a Core Group has been held and the actions</w:t>
      </w:r>
      <w:r>
        <w:rPr>
          <w:spacing w:val="-2"/>
          <w:sz w:val="24"/>
        </w:rPr>
        <w:t> </w:t>
      </w:r>
      <w:r>
        <w:rPr>
          <w:sz w:val="24"/>
        </w:rPr>
        <w:t>agreed.</w:t>
      </w:r>
    </w:p>
    <w:p>
      <w:pPr>
        <w:pStyle w:val="BodyText"/>
        <w:rPr>
          <w:sz w:val="28"/>
        </w:rPr>
      </w:pPr>
    </w:p>
    <w:p>
      <w:pPr>
        <w:pStyle w:val="BodyText"/>
        <w:rPr>
          <w:sz w:val="28"/>
        </w:rPr>
      </w:pPr>
    </w:p>
    <w:p>
      <w:pPr>
        <w:pStyle w:val="Heading1"/>
        <w:spacing w:before="187"/>
      </w:pPr>
      <w:r>
        <w:rPr/>
        <w:t>Frequency and minutes</w:t>
      </w:r>
    </w:p>
    <w:p>
      <w:pPr>
        <w:pStyle w:val="BodyText"/>
        <w:spacing w:before="1"/>
        <w:rPr>
          <w:b/>
          <w:sz w:val="27"/>
        </w:rPr>
      </w:pPr>
    </w:p>
    <w:p>
      <w:pPr>
        <w:pStyle w:val="ListParagraph"/>
        <w:numPr>
          <w:ilvl w:val="0"/>
          <w:numId w:val="1"/>
        </w:numPr>
        <w:tabs>
          <w:tab w:pos="527" w:val="left" w:leader="none"/>
          <w:tab w:pos="528" w:val="left" w:leader="none"/>
        </w:tabs>
        <w:spacing w:line="237" w:lineRule="auto" w:before="0" w:after="0"/>
        <w:ind w:left="527" w:right="469" w:hanging="360"/>
        <w:jc w:val="left"/>
        <w:rPr>
          <w:sz w:val="24"/>
        </w:rPr>
      </w:pPr>
      <w:r>
        <w:rPr>
          <w:sz w:val="24"/>
        </w:rPr>
        <w:t>Core Group membership, time and venue of meeting must be identified at Initial and Review Child Protection</w:t>
      </w:r>
      <w:r>
        <w:rPr>
          <w:spacing w:val="-2"/>
          <w:sz w:val="24"/>
        </w:rPr>
        <w:t> </w:t>
      </w:r>
      <w:r>
        <w:rPr>
          <w:sz w:val="24"/>
        </w:rPr>
        <w:t>Conferences.</w:t>
      </w:r>
    </w:p>
    <w:p>
      <w:pPr>
        <w:spacing w:after="0" w:line="237" w:lineRule="auto"/>
        <w:jc w:val="left"/>
        <w:rPr>
          <w:sz w:val="24"/>
        </w:rPr>
        <w:sectPr>
          <w:headerReference w:type="default" r:id="rId5"/>
          <w:footerReference w:type="default" r:id="rId6"/>
          <w:type w:val="continuous"/>
          <w:pgSz w:w="11910" w:h="16840"/>
          <w:pgMar w:header="712" w:footer="836" w:top="1460" w:bottom="1020" w:left="1340" w:right="1320"/>
          <w:pgNumType w:start="1"/>
        </w:sectPr>
      </w:pPr>
    </w:p>
    <w:p>
      <w:pPr>
        <w:pStyle w:val="ListParagraph"/>
        <w:numPr>
          <w:ilvl w:val="0"/>
          <w:numId w:val="1"/>
        </w:numPr>
        <w:tabs>
          <w:tab w:pos="527" w:val="left" w:leader="none"/>
          <w:tab w:pos="528" w:val="left" w:leader="none"/>
        </w:tabs>
        <w:spacing w:line="240" w:lineRule="auto" w:before="110" w:after="0"/>
        <w:ind w:left="527" w:right="0" w:hanging="360"/>
        <w:jc w:val="left"/>
        <w:rPr>
          <w:sz w:val="24"/>
        </w:rPr>
      </w:pPr>
      <w:r>
        <w:rPr>
          <w:sz w:val="24"/>
        </w:rPr>
        <w:t>The first Core Group </w:t>
      </w:r>
      <w:r>
        <w:rPr>
          <w:b/>
          <w:sz w:val="24"/>
        </w:rPr>
        <w:t>must </w:t>
      </w:r>
      <w:r>
        <w:rPr>
          <w:sz w:val="24"/>
        </w:rPr>
        <w:t>take place within 10 working days of</w:t>
      </w:r>
      <w:r>
        <w:rPr>
          <w:spacing w:val="-25"/>
          <w:sz w:val="24"/>
        </w:rPr>
        <w:t> </w:t>
      </w:r>
      <w:r>
        <w:rPr>
          <w:sz w:val="24"/>
        </w:rPr>
        <w:t>ICPC.</w:t>
      </w:r>
    </w:p>
    <w:p>
      <w:pPr>
        <w:pStyle w:val="BodyText"/>
        <w:rPr>
          <w:sz w:val="30"/>
        </w:rPr>
      </w:pPr>
    </w:p>
    <w:p>
      <w:pPr>
        <w:pStyle w:val="BodyText"/>
        <w:spacing w:before="8"/>
      </w:pPr>
    </w:p>
    <w:p>
      <w:pPr>
        <w:pStyle w:val="ListParagraph"/>
        <w:numPr>
          <w:ilvl w:val="0"/>
          <w:numId w:val="1"/>
        </w:numPr>
        <w:tabs>
          <w:tab w:pos="527" w:val="left" w:leader="none"/>
          <w:tab w:pos="528" w:val="left" w:leader="none"/>
        </w:tabs>
        <w:spacing w:line="237" w:lineRule="auto" w:before="0" w:after="0"/>
        <w:ind w:left="527" w:right="352" w:hanging="360"/>
        <w:jc w:val="left"/>
        <w:rPr>
          <w:sz w:val="24"/>
        </w:rPr>
      </w:pPr>
      <w:r>
        <w:rPr>
          <w:sz w:val="24"/>
        </w:rPr>
        <w:t>A</w:t>
      </w:r>
      <w:r>
        <w:rPr>
          <w:spacing w:val="-5"/>
          <w:sz w:val="24"/>
        </w:rPr>
        <w:t> </w:t>
      </w:r>
      <w:r>
        <w:rPr>
          <w:sz w:val="24"/>
        </w:rPr>
        <w:t>Core</w:t>
      </w:r>
      <w:r>
        <w:rPr>
          <w:spacing w:val="-4"/>
          <w:sz w:val="24"/>
        </w:rPr>
        <w:t> </w:t>
      </w:r>
      <w:r>
        <w:rPr>
          <w:sz w:val="24"/>
        </w:rPr>
        <w:t>Group</w:t>
      </w:r>
      <w:r>
        <w:rPr>
          <w:spacing w:val="-4"/>
          <w:sz w:val="24"/>
        </w:rPr>
        <w:t> </w:t>
      </w:r>
      <w:r>
        <w:rPr>
          <w:b/>
          <w:sz w:val="24"/>
        </w:rPr>
        <w:t>must</w:t>
      </w:r>
      <w:r>
        <w:rPr>
          <w:b/>
          <w:spacing w:val="-7"/>
          <w:sz w:val="24"/>
        </w:rPr>
        <w:t> </w:t>
      </w:r>
      <w:r>
        <w:rPr>
          <w:sz w:val="24"/>
        </w:rPr>
        <w:t>be</w:t>
      </w:r>
      <w:r>
        <w:rPr>
          <w:spacing w:val="-6"/>
          <w:sz w:val="24"/>
        </w:rPr>
        <w:t> </w:t>
      </w:r>
      <w:r>
        <w:rPr>
          <w:sz w:val="24"/>
        </w:rPr>
        <w:t>held</w:t>
      </w:r>
      <w:r>
        <w:rPr>
          <w:spacing w:val="-4"/>
          <w:sz w:val="24"/>
        </w:rPr>
        <w:t> </w:t>
      </w:r>
      <w:r>
        <w:rPr>
          <w:sz w:val="24"/>
        </w:rPr>
        <w:t>no</w:t>
      </w:r>
      <w:r>
        <w:rPr>
          <w:spacing w:val="-4"/>
          <w:sz w:val="24"/>
        </w:rPr>
        <w:t> </w:t>
      </w:r>
      <w:r>
        <w:rPr>
          <w:sz w:val="24"/>
        </w:rPr>
        <w:t>longer</w:t>
      </w:r>
      <w:r>
        <w:rPr>
          <w:spacing w:val="-4"/>
          <w:sz w:val="24"/>
        </w:rPr>
        <w:t> </w:t>
      </w:r>
      <w:r>
        <w:rPr>
          <w:sz w:val="24"/>
        </w:rPr>
        <w:t>than</w:t>
      </w:r>
      <w:r>
        <w:rPr>
          <w:spacing w:val="-6"/>
          <w:sz w:val="24"/>
        </w:rPr>
        <w:t> </w:t>
      </w:r>
      <w:r>
        <w:rPr>
          <w:sz w:val="24"/>
        </w:rPr>
        <w:t>8</w:t>
      </w:r>
      <w:r>
        <w:rPr>
          <w:spacing w:val="-4"/>
          <w:sz w:val="24"/>
        </w:rPr>
        <w:t> </w:t>
      </w:r>
      <w:r>
        <w:rPr>
          <w:sz w:val="24"/>
        </w:rPr>
        <w:t>weeks</w:t>
      </w:r>
      <w:r>
        <w:rPr>
          <w:spacing w:val="-5"/>
          <w:sz w:val="24"/>
        </w:rPr>
        <w:t> </w:t>
      </w:r>
      <w:r>
        <w:rPr>
          <w:sz w:val="24"/>
        </w:rPr>
        <w:t>after</w:t>
      </w:r>
      <w:r>
        <w:rPr>
          <w:spacing w:val="-4"/>
          <w:sz w:val="24"/>
        </w:rPr>
        <w:t> </w:t>
      </w:r>
      <w:r>
        <w:rPr>
          <w:sz w:val="24"/>
        </w:rPr>
        <w:t>a</w:t>
      </w:r>
      <w:r>
        <w:rPr>
          <w:spacing w:val="-3"/>
          <w:sz w:val="24"/>
        </w:rPr>
        <w:t> </w:t>
      </w:r>
      <w:r>
        <w:rPr>
          <w:sz w:val="24"/>
        </w:rPr>
        <w:t>Review</w:t>
      </w:r>
      <w:r>
        <w:rPr>
          <w:spacing w:val="-7"/>
          <w:sz w:val="24"/>
        </w:rPr>
        <w:t> </w:t>
      </w:r>
      <w:r>
        <w:rPr>
          <w:sz w:val="24"/>
        </w:rPr>
        <w:t>Child</w:t>
      </w:r>
      <w:r>
        <w:rPr>
          <w:spacing w:val="-6"/>
          <w:sz w:val="24"/>
        </w:rPr>
        <w:t> </w:t>
      </w:r>
      <w:r>
        <w:rPr>
          <w:sz w:val="24"/>
        </w:rPr>
        <w:t>Protection Conference.</w:t>
      </w:r>
    </w:p>
    <w:p>
      <w:pPr>
        <w:pStyle w:val="BodyText"/>
        <w:spacing w:before="3"/>
        <w:rPr>
          <w:sz w:val="27"/>
        </w:rPr>
      </w:pPr>
    </w:p>
    <w:p>
      <w:pPr>
        <w:pStyle w:val="ListParagraph"/>
        <w:numPr>
          <w:ilvl w:val="0"/>
          <w:numId w:val="1"/>
        </w:numPr>
        <w:tabs>
          <w:tab w:pos="527" w:val="left" w:leader="none"/>
          <w:tab w:pos="528" w:val="left" w:leader="none"/>
        </w:tabs>
        <w:spacing w:line="237" w:lineRule="auto" w:before="1" w:after="0"/>
        <w:ind w:left="527" w:right="1114" w:hanging="360"/>
        <w:jc w:val="left"/>
        <w:rPr>
          <w:sz w:val="24"/>
        </w:rPr>
      </w:pPr>
      <w:r>
        <w:rPr>
          <w:sz w:val="24"/>
        </w:rPr>
        <w:t>There must be at least two Core Groups held between each Child Protection Conference.</w:t>
      </w:r>
    </w:p>
    <w:p>
      <w:pPr>
        <w:pStyle w:val="BodyText"/>
        <w:spacing w:before="10"/>
        <w:rPr>
          <w:sz w:val="30"/>
        </w:rPr>
      </w:pPr>
    </w:p>
    <w:p>
      <w:pPr>
        <w:pStyle w:val="ListParagraph"/>
        <w:numPr>
          <w:ilvl w:val="0"/>
          <w:numId w:val="1"/>
        </w:numPr>
        <w:tabs>
          <w:tab w:pos="527" w:val="left" w:leader="none"/>
          <w:tab w:pos="528" w:val="left" w:leader="none"/>
        </w:tabs>
        <w:spacing w:line="244" w:lineRule="auto" w:before="0" w:after="0"/>
        <w:ind w:left="527" w:right="222" w:hanging="360"/>
        <w:jc w:val="left"/>
        <w:rPr>
          <w:sz w:val="24"/>
        </w:rPr>
      </w:pPr>
      <w:r>
        <w:rPr>
          <w:sz w:val="24"/>
        </w:rPr>
        <w:t>Minutes of the Core Group meeting must be circulated to Core Group members and the Child Protection Conference chair within 5 working days of the meeting and a case note on Framework written to indicate that this has</w:t>
      </w:r>
      <w:r>
        <w:rPr>
          <w:spacing w:val="-5"/>
          <w:sz w:val="24"/>
        </w:rPr>
        <w:t> </w:t>
      </w:r>
      <w:r>
        <w:rPr>
          <w:sz w:val="24"/>
        </w:rPr>
        <w:t>happened.</w:t>
      </w:r>
    </w:p>
    <w:p>
      <w:pPr>
        <w:pStyle w:val="BodyText"/>
        <w:spacing w:before="4"/>
        <w:rPr>
          <w:sz w:val="25"/>
        </w:rPr>
      </w:pPr>
    </w:p>
    <w:p>
      <w:pPr>
        <w:pStyle w:val="Heading1"/>
        <w:spacing w:before="1"/>
      </w:pPr>
      <w:r>
        <w:rPr/>
        <w:t>Arrangements for Chairing</w:t>
      </w:r>
    </w:p>
    <w:p>
      <w:pPr>
        <w:pStyle w:val="BodyText"/>
        <w:rPr>
          <w:b/>
          <w:sz w:val="27"/>
        </w:rPr>
      </w:pPr>
    </w:p>
    <w:p>
      <w:pPr>
        <w:pStyle w:val="ListParagraph"/>
        <w:numPr>
          <w:ilvl w:val="0"/>
          <w:numId w:val="1"/>
        </w:numPr>
        <w:tabs>
          <w:tab w:pos="527" w:val="left" w:leader="none"/>
          <w:tab w:pos="528" w:val="left" w:leader="none"/>
        </w:tabs>
        <w:spacing w:line="237" w:lineRule="auto" w:before="0" w:after="0"/>
        <w:ind w:left="527" w:right="672" w:hanging="360"/>
        <w:jc w:val="left"/>
        <w:rPr>
          <w:sz w:val="24"/>
        </w:rPr>
      </w:pPr>
      <w:r>
        <w:rPr>
          <w:sz w:val="24"/>
        </w:rPr>
        <w:t>The receiving Assistant Team manager or Team manager must chair the first Core Group.</w:t>
      </w:r>
    </w:p>
    <w:p>
      <w:pPr>
        <w:pStyle w:val="BodyText"/>
        <w:spacing w:before="2"/>
        <w:rPr>
          <w:sz w:val="27"/>
        </w:rPr>
      </w:pPr>
    </w:p>
    <w:p>
      <w:pPr>
        <w:pStyle w:val="ListParagraph"/>
        <w:numPr>
          <w:ilvl w:val="0"/>
          <w:numId w:val="1"/>
        </w:numPr>
        <w:tabs>
          <w:tab w:pos="527" w:val="left" w:leader="none"/>
          <w:tab w:pos="528" w:val="left" w:leader="none"/>
        </w:tabs>
        <w:spacing w:line="240" w:lineRule="auto" w:before="0" w:after="0"/>
        <w:ind w:left="527" w:right="760" w:hanging="360"/>
        <w:jc w:val="left"/>
        <w:rPr>
          <w:sz w:val="24"/>
        </w:rPr>
      </w:pPr>
      <w:r>
        <w:rPr>
          <w:sz w:val="24"/>
        </w:rPr>
        <w:t>Social Workers must chair subsequent Core Groups unless there are exceptional circumstances, in which case their line manager must</w:t>
      </w:r>
      <w:r>
        <w:rPr>
          <w:spacing w:val="-4"/>
          <w:sz w:val="24"/>
        </w:rPr>
        <w:t> </w:t>
      </w:r>
      <w:r>
        <w:rPr>
          <w:sz w:val="24"/>
        </w:rPr>
        <w:t>chair.</w:t>
      </w:r>
    </w:p>
    <w:p>
      <w:pPr>
        <w:pStyle w:val="BodyText"/>
        <w:spacing w:before="1"/>
        <w:rPr>
          <w:sz w:val="27"/>
        </w:rPr>
      </w:pPr>
    </w:p>
    <w:p>
      <w:pPr>
        <w:pStyle w:val="ListParagraph"/>
        <w:numPr>
          <w:ilvl w:val="0"/>
          <w:numId w:val="1"/>
        </w:numPr>
        <w:tabs>
          <w:tab w:pos="527" w:val="left" w:leader="none"/>
          <w:tab w:pos="528" w:val="left" w:leader="none"/>
        </w:tabs>
        <w:spacing w:line="244" w:lineRule="auto" w:before="0" w:after="0"/>
        <w:ind w:left="527" w:right="569" w:hanging="360"/>
        <w:jc w:val="left"/>
        <w:rPr>
          <w:sz w:val="24"/>
        </w:rPr>
      </w:pPr>
      <w:r>
        <w:rPr>
          <w:sz w:val="24"/>
        </w:rPr>
        <w:t>The chair of the Core Group must refer to the chair’s script at the beginning of the meeting (contained in core group agenda) and follow the Core Group agenda (see appendix 2).</w:t>
      </w:r>
    </w:p>
    <w:p>
      <w:pPr>
        <w:pStyle w:val="BodyText"/>
        <w:spacing w:before="3"/>
        <w:rPr>
          <w:sz w:val="25"/>
        </w:rPr>
      </w:pPr>
    </w:p>
    <w:p>
      <w:pPr>
        <w:pStyle w:val="Heading1"/>
        <w:spacing w:before="1"/>
      </w:pPr>
      <w:r>
        <w:rPr/>
        <w:t>Core group actions</w:t>
      </w:r>
    </w:p>
    <w:p>
      <w:pPr>
        <w:pStyle w:val="BodyText"/>
        <w:spacing w:before="1"/>
        <w:rPr>
          <w:b/>
          <w:sz w:val="27"/>
        </w:rPr>
      </w:pPr>
    </w:p>
    <w:p>
      <w:pPr>
        <w:pStyle w:val="ListParagraph"/>
        <w:numPr>
          <w:ilvl w:val="0"/>
          <w:numId w:val="1"/>
        </w:numPr>
        <w:tabs>
          <w:tab w:pos="527" w:val="left" w:leader="none"/>
          <w:tab w:pos="528" w:val="left" w:leader="none"/>
        </w:tabs>
        <w:spacing w:line="237" w:lineRule="auto" w:before="0" w:after="0"/>
        <w:ind w:left="527" w:right="327" w:hanging="360"/>
        <w:jc w:val="left"/>
        <w:rPr>
          <w:sz w:val="24"/>
        </w:rPr>
      </w:pPr>
      <w:r>
        <w:rPr>
          <w:sz w:val="24"/>
        </w:rPr>
        <w:t>It is the responsibility of the Core Group to develop the outline Child Protection Plan focussing on achieving change and improved outcomes for the</w:t>
      </w:r>
      <w:r>
        <w:rPr>
          <w:spacing w:val="-3"/>
          <w:sz w:val="24"/>
        </w:rPr>
        <w:t> </w:t>
      </w:r>
      <w:r>
        <w:rPr>
          <w:sz w:val="24"/>
        </w:rPr>
        <w:t>child</w:t>
      </w:r>
    </w:p>
    <w:p>
      <w:pPr>
        <w:pStyle w:val="BodyText"/>
        <w:spacing w:before="1"/>
        <w:rPr>
          <w:sz w:val="27"/>
        </w:rPr>
      </w:pPr>
    </w:p>
    <w:p>
      <w:pPr>
        <w:pStyle w:val="ListParagraph"/>
        <w:numPr>
          <w:ilvl w:val="0"/>
          <w:numId w:val="1"/>
        </w:numPr>
        <w:tabs>
          <w:tab w:pos="527" w:val="left" w:leader="none"/>
          <w:tab w:pos="528" w:val="left" w:leader="none"/>
        </w:tabs>
        <w:spacing w:line="249" w:lineRule="auto" w:before="1" w:after="0"/>
        <w:ind w:left="527" w:right="119" w:hanging="360"/>
        <w:jc w:val="left"/>
        <w:rPr>
          <w:sz w:val="24"/>
        </w:rPr>
      </w:pPr>
      <w:r>
        <w:rPr>
          <w:sz w:val="24"/>
        </w:rPr>
        <w:t>The Core Group must determine the frequency of visits, ensure they are within timescales proportionate to the risk and are sufficient to monitor the children’s wellbeing. In the early stages of a child protection plan visits are likely to be necessary at no greater than fortnightly or three weekly intervals, but should be more frequent if necessary. If the plan is progressing well the Core Group may decide that visits can be less frequent than outlined in the Child Protection Plan following a review Child Protection</w:t>
      </w:r>
      <w:r>
        <w:rPr>
          <w:spacing w:val="-1"/>
          <w:sz w:val="24"/>
        </w:rPr>
        <w:t> </w:t>
      </w:r>
      <w:r>
        <w:rPr>
          <w:sz w:val="24"/>
        </w:rPr>
        <w:t>Conference.</w:t>
      </w:r>
    </w:p>
    <w:p>
      <w:pPr>
        <w:pStyle w:val="BodyText"/>
        <w:spacing w:before="3"/>
        <w:rPr>
          <w:sz w:val="29"/>
        </w:rPr>
      </w:pPr>
    </w:p>
    <w:p>
      <w:pPr>
        <w:pStyle w:val="ListParagraph"/>
        <w:numPr>
          <w:ilvl w:val="0"/>
          <w:numId w:val="1"/>
        </w:numPr>
        <w:tabs>
          <w:tab w:pos="527" w:val="left" w:leader="none"/>
          <w:tab w:pos="528" w:val="left" w:leader="none"/>
        </w:tabs>
        <w:spacing w:line="240" w:lineRule="auto" w:before="0" w:after="0"/>
        <w:ind w:left="527" w:right="0" w:hanging="360"/>
        <w:jc w:val="left"/>
        <w:rPr>
          <w:sz w:val="24"/>
        </w:rPr>
      </w:pPr>
      <w:r>
        <w:rPr>
          <w:sz w:val="24"/>
        </w:rPr>
        <w:t>The minimum statutory timescale for social work visits is every 6</w:t>
      </w:r>
      <w:r>
        <w:rPr>
          <w:spacing w:val="-13"/>
          <w:sz w:val="24"/>
        </w:rPr>
        <w:t> </w:t>
      </w:r>
      <w:r>
        <w:rPr>
          <w:sz w:val="24"/>
        </w:rPr>
        <w:t>weeks.</w:t>
      </w:r>
    </w:p>
    <w:p>
      <w:pPr>
        <w:pStyle w:val="BodyText"/>
        <w:spacing w:before="6"/>
        <w:rPr>
          <w:sz w:val="29"/>
        </w:rPr>
      </w:pPr>
    </w:p>
    <w:p>
      <w:pPr>
        <w:pStyle w:val="ListParagraph"/>
        <w:numPr>
          <w:ilvl w:val="0"/>
          <w:numId w:val="1"/>
        </w:numPr>
        <w:tabs>
          <w:tab w:pos="527" w:val="left" w:leader="none"/>
          <w:tab w:pos="528" w:val="left" w:leader="none"/>
        </w:tabs>
        <w:spacing w:line="247" w:lineRule="auto" w:before="0" w:after="0"/>
        <w:ind w:left="527" w:right="212" w:hanging="360"/>
        <w:jc w:val="left"/>
        <w:rPr>
          <w:sz w:val="24"/>
        </w:rPr>
      </w:pPr>
      <w:r>
        <w:rPr>
          <w:sz w:val="24"/>
        </w:rPr>
        <w:t>Core Group members are expected to prioritise their attendance at these meetings, as they would a Child Protection Conference. If they cannot attend, apologies and a report must be sent to the social worker at least one working day prior to the Core Group meeting.</w:t>
      </w:r>
    </w:p>
    <w:p>
      <w:pPr>
        <w:spacing w:after="0" w:line="247" w:lineRule="auto"/>
        <w:jc w:val="left"/>
        <w:rPr>
          <w:sz w:val="24"/>
        </w:rPr>
        <w:sectPr>
          <w:pgSz w:w="11910" w:h="16840"/>
          <w:pgMar w:header="712" w:footer="836" w:top="1460" w:bottom="1020" w:left="1340" w:right="1320"/>
        </w:sectPr>
      </w:pPr>
    </w:p>
    <w:p>
      <w:pPr>
        <w:pStyle w:val="ListParagraph"/>
        <w:numPr>
          <w:ilvl w:val="1"/>
          <w:numId w:val="1"/>
        </w:numPr>
        <w:tabs>
          <w:tab w:pos="820" w:val="left" w:leader="none"/>
          <w:tab w:pos="821" w:val="left" w:leader="none"/>
        </w:tabs>
        <w:spacing w:line="235" w:lineRule="auto" w:before="115" w:after="0"/>
        <w:ind w:left="820" w:right="955" w:hanging="360"/>
        <w:jc w:val="left"/>
        <w:rPr>
          <w:rFonts w:ascii="Symbol" w:hAnsi="Symbol"/>
          <w:sz w:val="24"/>
        </w:rPr>
      </w:pPr>
      <w:r>
        <w:rPr>
          <w:sz w:val="24"/>
        </w:rPr>
        <w:t>The core group must evaluate the impact of the actions and analyse whether sufficient </w:t>
      </w:r>
      <w:r>
        <w:rPr>
          <w:b/>
          <w:sz w:val="24"/>
        </w:rPr>
        <w:t>change</w:t>
      </w:r>
      <w:r>
        <w:rPr>
          <w:b/>
          <w:spacing w:val="-53"/>
          <w:sz w:val="24"/>
        </w:rPr>
        <w:t> </w:t>
      </w:r>
      <w:r>
        <w:rPr>
          <w:sz w:val="24"/>
        </w:rPr>
        <w:t>has occurred to minimise or prevent harm to the child</w:t>
      </w:r>
    </w:p>
    <w:p>
      <w:pPr>
        <w:pStyle w:val="BodyText"/>
        <w:spacing w:before="5"/>
        <w:rPr>
          <w:sz w:val="27"/>
        </w:rPr>
      </w:pPr>
    </w:p>
    <w:p>
      <w:pPr>
        <w:pStyle w:val="ListParagraph"/>
        <w:numPr>
          <w:ilvl w:val="1"/>
          <w:numId w:val="1"/>
        </w:numPr>
        <w:tabs>
          <w:tab w:pos="820" w:val="left" w:leader="none"/>
          <w:tab w:pos="821" w:val="left" w:leader="none"/>
        </w:tabs>
        <w:spacing w:line="237" w:lineRule="auto" w:before="0" w:after="0"/>
        <w:ind w:left="820" w:right="193" w:hanging="360"/>
        <w:jc w:val="left"/>
        <w:rPr>
          <w:rFonts w:ascii="Symbol" w:hAnsi="Symbol"/>
          <w:sz w:val="24"/>
        </w:rPr>
      </w:pPr>
      <w:r>
        <w:rPr>
          <w:sz w:val="24"/>
        </w:rPr>
        <w:t>The Core Group is responsible for drawing up a Written Agreement with the family in line with the London Child Protection</w:t>
      </w:r>
      <w:r>
        <w:rPr>
          <w:spacing w:val="-6"/>
          <w:sz w:val="24"/>
        </w:rPr>
        <w:t> </w:t>
      </w:r>
      <w:r>
        <w:rPr>
          <w:sz w:val="24"/>
        </w:rPr>
        <w:t>Procedures.</w:t>
      </w:r>
    </w:p>
    <w:p>
      <w:pPr>
        <w:pStyle w:val="BodyText"/>
        <w:spacing w:before="11"/>
        <w:rPr>
          <w:sz w:val="30"/>
        </w:rPr>
      </w:pPr>
    </w:p>
    <w:p>
      <w:pPr>
        <w:pStyle w:val="ListParagraph"/>
        <w:numPr>
          <w:ilvl w:val="1"/>
          <w:numId w:val="1"/>
        </w:numPr>
        <w:tabs>
          <w:tab w:pos="820" w:val="left" w:leader="none"/>
          <w:tab w:pos="821" w:val="left" w:leader="none"/>
        </w:tabs>
        <w:spacing w:line="240" w:lineRule="auto" w:before="0" w:after="0"/>
        <w:ind w:left="820" w:right="0" w:hanging="360"/>
        <w:jc w:val="left"/>
        <w:rPr>
          <w:rFonts w:ascii="Symbol" w:hAnsi="Symbol"/>
          <w:sz w:val="24"/>
        </w:rPr>
      </w:pPr>
      <w:r>
        <w:rPr>
          <w:sz w:val="24"/>
        </w:rPr>
        <w:t>Core Group members must be flexible about venues for core</w:t>
      </w:r>
      <w:r>
        <w:rPr>
          <w:spacing w:val="-5"/>
          <w:sz w:val="24"/>
        </w:rPr>
        <w:t> </w:t>
      </w:r>
      <w:r>
        <w:rPr>
          <w:sz w:val="24"/>
        </w:rPr>
        <w:t>groups.</w:t>
      </w:r>
    </w:p>
    <w:p>
      <w:pPr>
        <w:pStyle w:val="BodyText"/>
        <w:spacing w:before="7"/>
      </w:pPr>
    </w:p>
    <w:p>
      <w:pPr>
        <w:pStyle w:val="Heading1"/>
        <w:ind w:left="460"/>
      </w:pPr>
      <w:r>
        <w:rPr/>
        <w:t>Action to be taken when the Child Protection Plan is not effective</w:t>
      </w:r>
    </w:p>
    <w:p>
      <w:pPr>
        <w:pStyle w:val="BodyText"/>
        <w:spacing w:before="10"/>
        <w:rPr>
          <w:b/>
          <w:sz w:val="26"/>
        </w:rPr>
      </w:pPr>
    </w:p>
    <w:p>
      <w:pPr>
        <w:pStyle w:val="ListParagraph"/>
        <w:numPr>
          <w:ilvl w:val="1"/>
          <w:numId w:val="1"/>
        </w:numPr>
        <w:tabs>
          <w:tab w:pos="820" w:val="left" w:leader="none"/>
          <w:tab w:pos="821" w:val="left" w:leader="none"/>
        </w:tabs>
        <w:spacing w:line="244" w:lineRule="auto" w:before="0" w:after="0"/>
        <w:ind w:left="820" w:right="581" w:hanging="360"/>
        <w:jc w:val="left"/>
        <w:rPr>
          <w:rFonts w:ascii="Symbol" w:hAnsi="Symbol"/>
          <w:sz w:val="24"/>
        </w:rPr>
      </w:pPr>
      <w:r>
        <w:rPr>
          <w:sz w:val="24"/>
        </w:rPr>
        <w:t>When the Child Protection Plan is not working well it is the responsibility of the Core Group members to attempt to resolve this and to use the escalation procedures if they cannot do</w:t>
      </w:r>
      <w:r>
        <w:rPr>
          <w:spacing w:val="-1"/>
          <w:sz w:val="24"/>
        </w:rPr>
        <w:t> </w:t>
      </w:r>
      <w:r>
        <w:rPr>
          <w:sz w:val="24"/>
        </w:rPr>
        <w:t>so.</w:t>
      </w:r>
    </w:p>
    <w:p>
      <w:pPr>
        <w:pStyle w:val="BodyText"/>
        <w:spacing w:before="6"/>
        <w:rPr>
          <w:sz w:val="26"/>
        </w:rPr>
      </w:pPr>
    </w:p>
    <w:p>
      <w:pPr>
        <w:pStyle w:val="ListParagraph"/>
        <w:numPr>
          <w:ilvl w:val="1"/>
          <w:numId w:val="1"/>
        </w:numPr>
        <w:tabs>
          <w:tab w:pos="820" w:val="left" w:leader="none"/>
          <w:tab w:pos="821" w:val="left" w:leader="none"/>
        </w:tabs>
        <w:spacing w:line="247" w:lineRule="auto" w:before="0" w:after="0"/>
        <w:ind w:left="820" w:right="257" w:hanging="360"/>
        <w:jc w:val="left"/>
        <w:rPr>
          <w:rFonts w:ascii="Symbol" w:hAnsi="Symbol"/>
          <w:sz w:val="24"/>
        </w:rPr>
      </w:pPr>
      <w:r>
        <w:rPr>
          <w:sz w:val="24"/>
        </w:rPr>
        <w:t>When the Child Protection Plan is not working well due to lack of parental co- operation the keyworker and their supervisor/manager must decide whether action is required outside of the Core Group process including acting on the contingency plan within the Child Protection</w:t>
      </w:r>
      <w:r>
        <w:rPr>
          <w:spacing w:val="-2"/>
          <w:sz w:val="24"/>
        </w:rPr>
        <w:t> </w:t>
      </w:r>
      <w:r>
        <w:rPr>
          <w:sz w:val="24"/>
        </w:rPr>
        <w:t>Plan.</w:t>
      </w:r>
    </w:p>
    <w:p>
      <w:pPr>
        <w:pStyle w:val="BodyText"/>
        <w:spacing w:before="2"/>
        <w:rPr>
          <w:sz w:val="26"/>
        </w:rPr>
      </w:pPr>
    </w:p>
    <w:p>
      <w:pPr>
        <w:pStyle w:val="ListParagraph"/>
        <w:numPr>
          <w:ilvl w:val="1"/>
          <w:numId w:val="1"/>
        </w:numPr>
        <w:tabs>
          <w:tab w:pos="820" w:val="left" w:leader="none"/>
          <w:tab w:pos="821" w:val="left" w:leader="none"/>
        </w:tabs>
        <w:spacing w:line="247" w:lineRule="auto" w:before="0" w:after="0"/>
        <w:ind w:left="820" w:right="382" w:hanging="360"/>
        <w:jc w:val="left"/>
        <w:rPr>
          <w:rFonts w:ascii="Symbol" w:hAnsi="Symbol"/>
          <w:sz w:val="24"/>
        </w:rPr>
      </w:pPr>
      <w:r>
        <w:rPr>
          <w:sz w:val="24"/>
        </w:rPr>
        <w:t>Where a lack of parental engagement leads to concerns about the child’s safety, Core Group members who are aware of this must inform the Social Worker. The contingency plan may need to be acted on immediately and without a Core Group meeting to discuss this. All Core Group members must be notified that the contingency plan has been initiated.</w:t>
      </w:r>
    </w:p>
    <w:p>
      <w:pPr>
        <w:pStyle w:val="BodyText"/>
        <w:spacing w:before="6"/>
        <w:rPr>
          <w:sz w:val="25"/>
        </w:rPr>
      </w:pPr>
    </w:p>
    <w:p>
      <w:pPr>
        <w:pStyle w:val="Heading1"/>
        <w:ind w:left="460"/>
      </w:pPr>
      <w:r>
        <w:rPr/>
        <w:t>Action to be taken when the Core Group is not effective</w:t>
      </w:r>
    </w:p>
    <w:p>
      <w:pPr>
        <w:pStyle w:val="BodyText"/>
        <w:spacing w:before="1"/>
        <w:rPr>
          <w:b/>
          <w:sz w:val="27"/>
        </w:rPr>
      </w:pPr>
    </w:p>
    <w:p>
      <w:pPr>
        <w:pStyle w:val="ListParagraph"/>
        <w:numPr>
          <w:ilvl w:val="1"/>
          <w:numId w:val="1"/>
        </w:numPr>
        <w:tabs>
          <w:tab w:pos="820" w:val="left" w:leader="none"/>
          <w:tab w:pos="821" w:val="left" w:leader="none"/>
        </w:tabs>
        <w:spacing w:line="237" w:lineRule="auto" w:before="0" w:after="0"/>
        <w:ind w:left="820" w:right="331" w:hanging="360"/>
        <w:jc w:val="left"/>
        <w:rPr>
          <w:rFonts w:ascii="Symbol" w:hAnsi="Symbol"/>
          <w:sz w:val="24"/>
        </w:rPr>
      </w:pPr>
      <w:r>
        <w:rPr>
          <w:sz w:val="24"/>
        </w:rPr>
        <w:t>If there is disagreement amongst Core Group members the inter-agency escalation protocol must be</w:t>
      </w:r>
      <w:r>
        <w:rPr>
          <w:spacing w:val="-2"/>
          <w:sz w:val="24"/>
        </w:rPr>
        <w:t> </w:t>
      </w:r>
      <w:r>
        <w:rPr>
          <w:sz w:val="24"/>
        </w:rPr>
        <w:t>followed.</w:t>
      </w:r>
    </w:p>
    <w:p>
      <w:pPr>
        <w:pStyle w:val="BodyText"/>
        <w:spacing w:before="4"/>
        <w:rPr>
          <w:sz w:val="27"/>
        </w:rPr>
      </w:pPr>
    </w:p>
    <w:p>
      <w:pPr>
        <w:pStyle w:val="ListParagraph"/>
        <w:numPr>
          <w:ilvl w:val="1"/>
          <w:numId w:val="1"/>
        </w:numPr>
        <w:tabs>
          <w:tab w:pos="820" w:val="left" w:leader="none"/>
          <w:tab w:pos="821" w:val="left" w:leader="none"/>
        </w:tabs>
        <w:spacing w:line="237" w:lineRule="auto" w:before="0" w:after="0"/>
        <w:ind w:left="820" w:right="377" w:hanging="360"/>
        <w:jc w:val="left"/>
        <w:rPr>
          <w:rFonts w:ascii="Symbol" w:hAnsi="Symbol"/>
          <w:sz w:val="24"/>
        </w:rPr>
      </w:pPr>
      <w:r>
        <w:rPr>
          <w:color w:val="221F1F"/>
          <w:sz w:val="24"/>
        </w:rPr>
        <w:t>If Core Group member/s are not carrying out </w:t>
      </w:r>
      <w:r>
        <w:rPr>
          <w:sz w:val="24"/>
        </w:rPr>
        <w:t>the </w:t>
      </w:r>
      <w:r>
        <w:rPr>
          <w:color w:val="221F1F"/>
          <w:sz w:val="24"/>
        </w:rPr>
        <w:t>responsibilities outlined in Child Protection Plan the </w:t>
      </w:r>
      <w:r>
        <w:rPr>
          <w:sz w:val="24"/>
        </w:rPr>
        <w:t>inter-agency escalation protocol must be</w:t>
      </w:r>
      <w:r>
        <w:rPr>
          <w:spacing w:val="-4"/>
          <w:sz w:val="24"/>
        </w:rPr>
        <w:t> </w:t>
      </w:r>
      <w:r>
        <w:rPr>
          <w:sz w:val="24"/>
        </w:rPr>
        <w:t>followed.</w:t>
      </w:r>
    </w:p>
    <w:p>
      <w:pPr>
        <w:pStyle w:val="BodyText"/>
        <w:spacing w:before="10"/>
        <w:rPr>
          <w:sz w:val="30"/>
        </w:rPr>
      </w:pPr>
    </w:p>
    <w:p>
      <w:pPr>
        <w:pStyle w:val="ListParagraph"/>
        <w:numPr>
          <w:ilvl w:val="1"/>
          <w:numId w:val="1"/>
        </w:numPr>
        <w:tabs>
          <w:tab w:pos="820" w:val="left" w:leader="none"/>
          <w:tab w:pos="821" w:val="left" w:leader="none"/>
        </w:tabs>
        <w:spacing w:line="247" w:lineRule="auto" w:before="0" w:after="0"/>
        <w:ind w:left="820" w:right="230" w:hanging="360"/>
        <w:jc w:val="left"/>
        <w:rPr>
          <w:rFonts w:ascii="Symbol" w:hAnsi="Symbol"/>
          <w:color w:val="221F1F"/>
          <w:sz w:val="24"/>
        </w:rPr>
      </w:pPr>
      <w:r>
        <w:rPr>
          <w:color w:val="221F1F"/>
          <w:sz w:val="24"/>
        </w:rPr>
        <w:t>Continual absence from Core Group meetings by parents must be addressed by the social worker and other professionals. Continual absence from or failure to provide information for the Core Group meetings by professionals, including key professionals, must be addressed by the social worker using the inter-agency escalation</w:t>
      </w:r>
      <w:r>
        <w:rPr>
          <w:color w:val="221F1F"/>
          <w:spacing w:val="-1"/>
          <w:sz w:val="24"/>
        </w:rPr>
        <w:t> </w:t>
      </w:r>
      <w:r>
        <w:rPr>
          <w:color w:val="221F1F"/>
          <w:sz w:val="24"/>
        </w:rPr>
        <w:t>protocol.</w:t>
      </w:r>
    </w:p>
    <w:p>
      <w:pPr>
        <w:pStyle w:val="BodyText"/>
        <w:spacing w:before="4"/>
        <w:rPr>
          <w:sz w:val="30"/>
        </w:rPr>
      </w:pPr>
    </w:p>
    <w:p>
      <w:pPr>
        <w:pStyle w:val="ListParagraph"/>
        <w:numPr>
          <w:ilvl w:val="1"/>
          <w:numId w:val="1"/>
        </w:numPr>
        <w:tabs>
          <w:tab w:pos="820" w:val="left" w:leader="none"/>
          <w:tab w:pos="821" w:val="left" w:leader="none"/>
        </w:tabs>
        <w:spacing w:line="244" w:lineRule="auto" w:before="0" w:after="0"/>
        <w:ind w:left="820" w:right="359" w:hanging="360"/>
        <w:jc w:val="left"/>
        <w:rPr>
          <w:rFonts w:ascii="Symbol" w:hAnsi="Symbol"/>
          <w:color w:val="221F1F"/>
          <w:sz w:val="24"/>
        </w:rPr>
      </w:pPr>
      <w:r>
        <w:rPr>
          <w:color w:val="221F1F"/>
          <w:sz w:val="24"/>
        </w:rPr>
        <w:t>Delay and drift in implementing the Child Protection Plan must be challenged by all members of the Core Group both within the meetings and using the inter-agency escalation protocol.</w:t>
      </w:r>
    </w:p>
    <w:p>
      <w:pPr>
        <w:pStyle w:val="BodyText"/>
        <w:spacing w:before="7"/>
        <w:rPr>
          <w:sz w:val="26"/>
        </w:rPr>
      </w:pPr>
    </w:p>
    <w:p>
      <w:pPr>
        <w:pStyle w:val="ListParagraph"/>
        <w:numPr>
          <w:ilvl w:val="1"/>
          <w:numId w:val="1"/>
        </w:numPr>
        <w:tabs>
          <w:tab w:pos="820" w:val="left" w:leader="none"/>
          <w:tab w:pos="821" w:val="left" w:leader="none"/>
        </w:tabs>
        <w:spacing w:line="237" w:lineRule="auto" w:before="1" w:after="0"/>
        <w:ind w:left="820" w:right="728" w:hanging="360"/>
        <w:jc w:val="left"/>
        <w:rPr>
          <w:rFonts w:ascii="Symbol" w:hAnsi="Symbol"/>
          <w:color w:val="221F1F"/>
          <w:sz w:val="24"/>
        </w:rPr>
      </w:pPr>
      <w:r>
        <w:rPr>
          <w:color w:val="221F1F"/>
          <w:sz w:val="24"/>
        </w:rPr>
        <w:t>Difficulties implementing the Child Protection Plan due to disagreement among professionals must be referred to managers at the earliest</w:t>
      </w:r>
      <w:r>
        <w:rPr>
          <w:color w:val="221F1F"/>
          <w:spacing w:val="-12"/>
          <w:sz w:val="24"/>
        </w:rPr>
        <w:t> </w:t>
      </w:r>
      <w:r>
        <w:rPr>
          <w:color w:val="221F1F"/>
          <w:sz w:val="24"/>
        </w:rPr>
        <w:t>opportunity.</w:t>
      </w:r>
    </w:p>
    <w:p>
      <w:pPr>
        <w:spacing w:after="0" w:line="237" w:lineRule="auto"/>
        <w:jc w:val="left"/>
        <w:rPr>
          <w:rFonts w:ascii="Symbol" w:hAnsi="Symbol"/>
          <w:sz w:val="24"/>
        </w:rPr>
        <w:sectPr>
          <w:pgSz w:w="11910" w:h="16840"/>
          <w:pgMar w:header="712" w:footer="836" w:top="1460" w:bottom="1020" w:left="1340" w:right="1320"/>
        </w:sectPr>
      </w:pPr>
    </w:p>
    <w:p>
      <w:pPr>
        <w:pStyle w:val="Heading1"/>
        <w:spacing w:before="98"/>
        <w:ind w:left="460"/>
      </w:pPr>
      <w:r>
        <w:rPr/>
        <w:t>Core</w:t>
      </w:r>
      <w:r>
        <w:rPr>
          <w:spacing w:val="-49"/>
        </w:rPr>
        <w:t> </w:t>
      </w:r>
      <w:r>
        <w:rPr/>
        <w:t>Group</w:t>
      </w:r>
      <w:r>
        <w:rPr>
          <w:spacing w:val="-50"/>
        </w:rPr>
        <w:t> </w:t>
      </w:r>
      <w:r>
        <w:rPr/>
        <w:t>recommendations</w:t>
      </w:r>
      <w:r>
        <w:rPr>
          <w:spacing w:val="-48"/>
        </w:rPr>
        <w:t> </w:t>
      </w:r>
      <w:r>
        <w:rPr/>
        <w:t>to</w:t>
      </w:r>
      <w:r>
        <w:rPr>
          <w:spacing w:val="-50"/>
        </w:rPr>
        <w:t> </w:t>
      </w:r>
      <w:r>
        <w:rPr/>
        <w:t>the</w:t>
      </w:r>
      <w:r>
        <w:rPr>
          <w:spacing w:val="-48"/>
        </w:rPr>
        <w:t> </w:t>
      </w:r>
      <w:r>
        <w:rPr/>
        <w:t>Review</w:t>
      </w:r>
      <w:r>
        <w:rPr>
          <w:spacing w:val="-49"/>
        </w:rPr>
        <w:t> </w:t>
      </w:r>
      <w:r>
        <w:rPr/>
        <w:t>Child</w:t>
      </w:r>
      <w:r>
        <w:rPr>
          <w:spacing w:val="-49"/>
        </w:rPr>
        <w:t> </w:t>
      </w:r>
      <w:r>
        <w:rPr/>
        <w:t>Protection</w:t>
      </w:r>
      <w:r>
        <w:rPr>
          <w:spacing w:val="-48"/>
        </w:rPr>
        <w:t> </w:t>
      </w:r>
      <w:r>
        <w:rPr/>
        <w:t>Conference</w:t>
      </w:r>
    </w:p>
    <w:p>
      <w:pPr>
        <w:pStyle w:val="BodyText"/>
        <w:spacing w:before="10"/>
        <w:rPr>
          <w:b/>
          <w:sz w:val="26"/>
        </w:rPr>
      </w:pPr>
    </w:p>
    <w:p>
      <w:pPr>
        <w:pStyle w:val="ListParagraph"/>
        <w:numPr>
          <w:ilvl w:val="1"/>
          <w:numId w:val="1"/>
        </w:numPr>
        <w:tabs>
          <w:tab w:pos="820" w:val="left" w:leader="none"/>
          <w:tab w:pos="821" w:val="left" w:leader="none"/>
        </w:tabs>
        <w:spacing w:line="244" w:lineRule="auto" w:before="0" w:after="0"/>
        <w:ind w:left="820" w:right="182" w:hanging="360"/>
        <w:jc w:val="left"/>
        <w:rPr>
          <w:rFonts w:ascii="Symbol" w:hAnsi="Symbol"/>
          <w:sz w:val="24"/>
        </w:rPr>
      </w:pPr>
      <w:r>
        <w:rPr>
          <w:sz w:val="24"/>
        </w:rPr>
        <w:t>Core Groups held prior to a Review Child Protection Conference must ensure that the risk analysis is reviewed, focusing on what has changed and that a </w:t>
      </w:r>
      <w:r>
        <w:rPr>
          <w:b/>
          <w:sz w:val="24"/>
        </w:rPr>
        <w:t>recommendation</w:t>
      </w:r>
      <w:r>
        <w:rPr>
          <w:b/>
          <w:spacing w:val="-26"/>
          <w:sz w:val="24"/>
        </w:rPr>
        <w:t> </w:t>
      </w:r>
      <w:r>
        <w:rPr>
          <w:b/>
          <w:sz w:val="24"/>
        </w:rPr>
        <w:t>is</w:t>
      </w:r>
      <w:r>
        <w:rPr>
          <w:b/>
          <w:spacing w:val="-23"/>
          <w:sz w:val="24"/>
        </w:rPr>
        <w:t> </w:t>
      </w:r>
      <w:r>
        <w:rPr>
          <w:b/>
          <w:sz w:val="24"/>
        </w:rPr>
        <w:t>made</w:t>
      </w:r>
      <w:r>
        <w:rPr>
          <w:b/>
          <w:spacing w:val="-24"/>
          <w:sz w:val="24"/>
        </w:rPr>
        <w:t> </w:t>
      </w:r>
      <w:r>
        <w:rPr>
          <w:sz w:val="24"/>
        </w:rPr>
        <w:t>about</w:t>
      </w:r>
      <w:r>
        <w:rPr>
          <w:spacing w:val="-20"/>
          <w:sz w:val="24"/>
        </w:rPr>
        <w:t> </w:t>
      </w:r>
      <w:r>
        <w:rPr>
          <w:sz w:val="24"/>
        </w:rPr>
        <w:t>whether</w:t>
      </w:r>
      <w:r>
        <w:rPr>
          <w:spacing w:val="-20"/>
          <w:sz w:val="24"/>
        </w:rPr>
        <w:t> </w:t>
      </w:r>
      <w:r>
        <w:rPr>
          <w:sz w:val="24"/>
        </w:rPr>
        <w:t>or</w:t>
      </w:r>
      <w:r>
        <w:rPr>
          <w:spacing w:val="-21"/>
          <w:sz w:val="24"/>
        </w:rPr>
        <w:t> </w:t>
      </w:r>
      <w:r>
        <w:rPr>
          <w:sz w:val="24"/>
        </w:rPr>
        <w:t>not</w:t>
      </w:r>
      <w:r>
        <w:rPr>
          <w:spacing w:val="-20"/>
          <w:sz w:val="24"/>
        </w:rPr>
        <w:t> </w:t>
      </w:r>
      <w:r>
        <w:rPr>
          <w:sz w:val="24"/>
        </w:rPr>
        <w:t>the</w:t>
      </w:r>
      <w:r>
        <w:rPr>
          <w:spacing w:val="-20"/>
          <w:sz w:val="24"/>
        </w:rPr>
        <w:t> </w:t>
      </w:r>
      <w:r>
        <w:rPr>
          <w:sz w:val="24"/>
        </w:rPr>
        <w:t>Child</w:t>
      </w:r>
      <w:r>
        <w:rPr>
          <w:spacing w:val="-20"/>
          <w:sz w:val="24"/>
        </w:rPr>
        <w:t> </w:t>
      </w:r>
      <w:r>
        <w:rPr>
          <w:sz w:val="24"/>
        </w:rPr>
        <w:t>Protection</w:t>
      </w:r>
      <w:r>
        <w:rPr>
          <w:spacing w:val="-20"/>
          <w:sz w:val="24"/>
        </w:rPr>
        <w:t> </w:t>
      </w:r>
      <w:r>
        <w:rPr>
          <w:sz w:val="24"/>
        </w:rPr>
        <w:t>Plan</w:t>
      </w:r>
      <w:r>
        <w:rPr>
          <w:spacing w:val="-19"/>
          <w:sz w:val="24"/>
        </w:rPr>
        <w:t> </w:t>
      </w:r>
      <w:r>
        <w:rPr>
          <w:sz w:val="24"/>
        </w:rPr>
        <w:t>needs to</w:t>
      </w:r>
      <w:r>
        <w:rPr>
          <w:spacing w:val="-3"/>
          <w:sz w:val="24"/>
        </w:rPr>
        <w:t> </w:t>
      </w:r>
      <w:r>
        <w:rPr>
          <w:sz w:val="24"/>
        </w:rPr>
        <w:t>continue.</w:t>
      </w:r>
    </w:p>
    <w:p>
      <w:pPr>
        <w:pStyle w:val="BodyText"/>
        <w:spacing w:before="10"/>
        <w:rPr>
          <w:sz w:val="26"/>
        </w:rPr>
      </w:pPr>
    </w:p>
    <w:p>
      <w:pPr>
        <w:pStyle w:val="ListParagraph"/>
        <w:numPr>
          <w:ilvl w:val="1"/>
          <w:numId w:val="1"/>
        </w:numPr>
        <w:tabs>
          <w:tab w:pos="820" w:val="left" w:leader="none"/>
          <w:tab w:pos="821" w:val="left" w:leader="none"/>
        </w:tabs>
        <w:spacing w:line="244" w:lineRule="auto" w:before="0" w:after="0"/>
        <w:ind w:left="820" w:right="153" w:hanging="360"/>
        <w:jc w:val="left"/>
        <w:rPr>
          <w:rFonts w:ascii="Symbol" w:hAnsi="Symbol"/>
          <w:sz w:val="24"/>
        </w:rPr>
      </w:pPr>
      <w:r>
        <w:rPr>
          <w:sz w:val="24"/>
        </w:rPr>
        <w:t>If a step down to a CIN plan or a TAC is going to be recommended, the Core Group must consider and outline what should be in those plans and who will lead on them (e.g. Lead</w:t>
      </w:r>
      <w:r>
        <w:rPr>
          <w:spacing w:val="-2"/>
          <w:sz w:val="24"/>
        </w:rPr>
        <w:t> </w:t>
      </w:r>
      <w:r>
        <w:rPr>
          <w:sz w:val="24"/>
        </w:rPr>
        <w:t>Professional)</w:t>
      </w:r>
    </w:p>
    <w:sectPr>
      <w:pgSz w:w="11910" w:h="16840"/>
      <w:pgMar w:header="712" w:footer="836" w:top="1460" w:bottom="10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w:altName w:val="Gill Sans"/>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2.200001pt;margin-top:786.096008pt;width:491.05pt;height:.5pt;mso-position-horizontal-relative:page;mso-position-vertical-relative:page;z-index:-4336" coordorigin="1044,15722" coordsize="9821,10">
          <v:line style="position:absolute" from="1044,15727" to="4931,15727" stroked="true" strokeweight=".47998pt" strokecolor="#000000">
            <v:stroke dashstyle="solid"/>
          </v:line>
          <v:rect style="position:absolute;left:4930;top:15721;width:10;height:10" filled="true" fillcolor="#000000" stroked="false">
            <v:fill type="solid"/>
          </v:rect>
          <v:line style="position:absolute" from="4940,15727" to="7590,15727" stroked="true" strokeweight=".47998pt" strokecolor="#000000">
            <v:stroke dashstyle="solid"/>
          </v:line>
          <v:rect style="position:absolute;left:7590;top:15721;width:10;height:10" filled="true" fillcolor="#000000" stroked="false">
            <v:fill type="solid"/>
          </v:rect>
          <v:line style="position:absolute" from="7600,15727" to="10864,15727" stroked="true" strokeweight=".47998pt" strokecolor="#000000">
            <v:stroke dashstyle="solid"/>
          </v:line>
          <w10:wrap type="none"/>
        </v:group>
      </w:pict>
    </w:r>
    <w:r>
      <w:rPr/>
      <w:pict>
        <v:shape style="position:absolute;margin-left:529.820007pt;margin-top:785.778748pt;width:10pt;height:16.1500pt;mso-position-horizontal-relative:page;mso-position-vertical-relative:page;z-index:-4312" type="#_x0000_t202" filled="false" stroked="false">
          <v:textbox inset="0,0,0,0">
            <w:txbxContent>
              <w:p>
                <w:pPr>
                  <w:pStyle w:val="BodyText"/>
                  <w:spacing w:before="23"/>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384" from="70.584pt,64.559982pt" to="524.854pt,64.55998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61.259995pt;margin-top:34.602718pt;width:272.6pt;height:16.1500pt;mso-position-horizontal-relative:page;mso-position-vertical-relative:page;z-index:-4360" type="#_x0000_t202" filled="false" stroked="false">
          <v:textbox inset="0,0,0,0">
            <w:txbxContent>
              <w:p>
                <w:pPr>
                  <w:spacing w:before="22"/>
                  <w:ind w:left="20" w:right="0" w:firstLine="0"/>
                  <w:jc w:val="left"/>
                  <w:rPr>
                    <w:b/>
                    <w:sz w:val="24"/>
                  </w:rPr>
                </w:pPr>
                <w:r>
                  <w:rPr>
                    <w:b/>
                    <w:w w:val="95"/>
                    <w:sz w:val="24"/>
                  </w:rPr>
                  <w:t>ROYAL GREENWICH CHILDREN’S SERVICES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27" w:hanging="360"/>
      </w:pPr>
      <w:rPr>
        <w:rFonts w:hint="default" w:ascii="Symbol" w:hAnsi="Symbol" w:eastAsia="Symbol" w:cs="Symbol"/>
        <w:w w:val="76"/>
        <w:sz w:val="24"/>
        <w:szCs w:val="24"/>
        <w:lang w:val="en-gb" w:eastAsia="en-gb" w:bidi="en-gb"/>
      </w:rPr>
    </w:lvl>
    <w:lvl w:ilvl="1">
      <w:start w:val="0"/>
      <w:numFmt w:val="bullet"/>
      <w:lvlText w:val=""/>
      <w:lvlJc w:val="left"/>
      <w:pPr>
        <w:ind w:left="820" w:hanging="360"/>
      </w:pPr>
      <w:rPr>
        <w:rFonts w:hint="default"/>
        <w:w w:val="76"/>
        <w:lang w:val="en-gb" w:eastAsia="en-gb" w:bidi="en-gb"/>
      </w:rPr>
    </w:lvl>
    <w:lvl w:ilvl="2">
      <w:start w:val="0"/>
      <w:numFmt w:val="bullet"/>
      <w:lvlText w:val="•"/>
      <w:lvlJc w:val="left"/>
      <w:pPr>
        <w:ind w:left="1756" w:hanging="360"/>
      </w:pPr>
      <w:rPr>
        <w:rFonts w:hint="default"/>
        <w:lang w:val="en-gb" w:eastAsia="en-gb" w:bidi="en-gb"/>
      </w:rPr>
    </w:lvl>
    <w:lvl w:ilvl="3">
      <w:start w:val="0"/>
      <w:numFmt w:val="bullet"/>
      <w:lvlText w:val="•"/>
      <w:lvlJc w:val="left"/>
      <w:pPr>
        <w:ind w:left="2692" w:hanging="360"/>
      </w:pPr>
      <w:rPr>
        <w:rFonts w:hint="default"/>
        <w:lang w:val="en-gb" w:eastAsia="en-gb" w:bidi="en-gb"/>
      </w:rPr>
    </w:lvl>
    <w:lvl w:ilvl="4">
      <w:start w:val="0"/>
      <w:numFmt w:val="bullet"/>
      <w:lvlText w:val="•"/>
      <w:lvlJc w:val="left"/>
      <w:pPr>
        <w:ind w:left="3628" w:hanging="360"/>
      </w:pPr>
      <w:rPr>
        <w:rFonts w:hint="default"/>
        <w:lang w:val="en-gb" w:eastAsia="en-gb" w:bidi="en-gb"/>
      </w:rPr>
    </w:lvl>
    <w:lvl w:ilvl="5">
      <w:start w:val="0"/>
      <w:numFmt w:val="bullet"/>
      <w:lvlText w:val="•"/>
      <w:lvlJc w:val="left"/>
      <w:pPr>
        <w:ind w:left="4565" w:hanging="360"/>
      </w:pPr>
      <w:rPr>
        <w:rFonts w:hint="default"/>
        <w:lang w:val="en-gb" w:eastAsia="en-gb" w:bidi="en-gb"/>
      </w:rPr>
    </w:lvl>
    <w:lvl w:ilvl="6">
      <w:start w:val="0"/>
      <w:numFmt w:val="bullet"/>
      <w:lvlText w:val="•"/>
      <w:lvlJc w:val="left"/>
      <w:pPr>
        <w:ind w:left="5501" w:hanging="360"/>
      </w:pPr>
      <w:rPr>
        <w:rFonts w:hint="default"/>
        <w:lang w:val="en-gb" w:eastAsia="en-gb" w:bidi="en-gb"/>
      </w:rPr>
    </w:lvl>
    <w:lvl w:ilvl="7">
      <w:start w:val="0"/>
      <w:numFmt w:val="bullet"/>
      <w:lvlText w:val="•"/>
      <w:lvlJc w:val="left"/>
      <w:pPr>
        <w:ind w:left="6437" w:hanging="360"/>
      </w:pPr>
      <w:rPr>
        <w:rFonts w:hint="default"/>
        <w:lang w:val="en-gb" w:eastAsia="en-gb" w:bidi="en-gb"/>
      </w:rPr>
    </w:lvl>
    <w:lvl w:ilvl="8">
      <w:start w:val="0"/>
      <w:numFmt w:val="bullet"/>
      <w:lvlText w:val="•"/>
      <w:lvlJc w:val="left"/>
      <w:pPr>
        <w:ind w:left="7373"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w:hAnsi="Gill Sans" w:eastAsia="Gill Sans" w:cs="Gill Sans"/>
      <w:lang w:val="en-gb" w:eastAsia="en-gb" w:bidi="en-gb"/>
    </w:rPr>
  </w:style>
  <w:style w:styleId="BodyText" w:type="paragraph">
    <w:name w:val="Body Text"/>
    <w:basedOn w:val="Normal"/>
    <w:uiPriority w:val="1"/>
    <w:qFormat/>
    <w:pPr/>
    <w:rPr>
      <w:rFonts w:ascii="Gill Sans" w:hAnsi="Gill Sans" w:eastAsia="Gill Sans" w:cs="Gill Sans"/>
      <w:sz w:val="24"/>
      <w:szCs w:val="24"/>
      <w:lang w:val="en-gb" w:eastAsia="en-gb" w:bidi="en-gb"/>
    </w:rPr>
  </w:style>
  <w:style w:styleId="Heading1" w:type="paragraph">
    <w:name w:val="Heading 1"/>
    <w:basedOn w:val="Normal"/>
    <w:uiPriority w:val="1"/>
    <w:qFormat/>
    <w:pPr>
      <w:ind w:left="100"/>
      <w:outlineLvl w:val="1"/>
    </w:pPr>
    <w:rPr>
      <w:rFonts w:ascii="Gill Sans" w:hAnsi="Gill Sans" w:eastAsia="Gill Sans" w:cs="Gill Sans"/>
      <w:b/>
      <w:bCs/>
      <w:sz w:val="24"/>
      <w:szCs w:val="24"/>
      <w:lang w:val="en-gb" w:eastAsia="en-gb" w:bidi="en-gb"/>
    </w:rPr>
  </w:style>
  <w:style w:styleId="ListParagraph" w:type="paragraph">
    <w:name w:val="List Paragraph"/>
    <w:basedOn w:val="Normal"/>
    <w:uiPriority w:val="1"/>
    <w:qFormat/>
    <w:pPr>
      <w:ind w:left="527" w:hanging="360"/>
    </w:pPr>
    <w:rPr>
      <w:rFonts w:ascii="Gill Sans" w:hAnsi="Gill Sans" w:eastAsia="Gill Sans" w:cs="Gill Sans"/>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1148F-0BAF-4F38-B5EE-FAC20E5ABD00}"/>
</file>

<file path=customXml/itemProps2.xml><?xml version="1.0" encoding="utf-8"?>
<ds:datastoreItem xmlns:ds="http://schemas.openxmlformats.org/officeDocument/2006/customXml" ds:itemID="{14DBC8E7-4070-4226-B629-CDABF3C4E680}"/>
</file>

<file path=customXml/itemProps3.xml><?xml version="1.0" encoding="utf-8"?>
<ds:datastoreItem xmlns:ds="http://schemas.openxmlformats.org/officeDocument/2006/customXml" ds:itemID="{E324856D-8FA9-4155-9B07-BAE9BC7CA30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Doherty</dc:creator>
  <dcterms:created xsi:type="dcterms:W3CDTF">2019-09-11T07:22:05Z</dcterms:created>
  <dcterms:modified xsi:type="dcterms:W3CDTF">2019-09-11T07:22:05Z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Creator">
    <vt:lpwstr>Microsoft® Word 2010</vt:lpwstr>
  </property>
  <property fmtid="{D5CDD505-2E9C-101B-9397-08002B2CF9AE}" pid="4" name="LastSaved">
    <vt:filetime>2019-09-11T00:00:00Z</vt:filetime>
  </property>
  <property fmtid="{D5CDD505-2E9C-101B-9397-08002B2CF9AE}" pid="5" name="ContentTypeId">
    <vt:lpwstr>0x0101008CDAF8CE796476468EC1B6445911AD04</vt:lpwstr>
  </property>
</Properties>
</file>